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3A53B" w14:textId="3844114E" w:rsidR="009A727D" w:rsidRPr="002C0B76" w:rsidRDefault="009A727D" w:rsidP="0002552E">
      <w:pPr>
        <w:jc w:val="center"/>
        <w:rPr>
          <w:b/>
          <w:bCs/>
          <w:sz w:val="24"/>
          <w:szCs w:val="24"/>
        </w:rPr>
      </w:pPr>
      <w:r w:rsidRPr="002C0B76">
        <w:rPr>
          <w:b/>
          <w:bCs/>
          <w:sz w:val="24"/>
          <w:szCs w:val="24"/>
        </w:rPr>
        <w:t xml:space="preserve">Papildinformācija </w:t>
      </w:r>
      <w:r w:rsidR="005F70D5" w:rsidRPr="002C0B76">
        <w:rPr>
          <w:b/>
          <w:bCs/>
          <w:sz w:val="24"/>
          <w:szCs w:val="24"/>
        </w:rPr>
        <w:t>sertificēt</w:t>
      </w:r>
      <w:r w:rsidR="00A33C77" w:rsidRPr="002C0B76">
        <w:rPr>
          <w:b/>
          <w:bCs/>
          <w:sz w:val="24"/>
          <w:szCs w:val="24"/>
        </w:rPr>
        <w:t>a</w:t>
      </w:r>
      <w:r w:rsidR="005F70D5" w:rsidRPr="002C0B76">
        <w:rPr>
          <w:b/>
          <w:bCs/>
          <w:sz w:val="24"/>
          <w:szCs w:val="24"/>
        </w:rPr>
        <w:t xml:space="preserve"> sugu un biotopu aizsardzības jomas ekspert</w:t>
      </w:r>
      <w:r w:rsidR="00A33C77" w:rsidRPr="002C0B76">
        <w:rPr>
          <w:b/>
          <w:bCs/>
          <w:sz w:val="24"/>
          <w:szCs w:val="24"/>
        </w:rPr>
        <w:t>a</w:t>
      </w:r>
      <w:r w:rsidR="005F70D5" w:rsidRPr="002C0B76">
        <w:rPr>
          <w:b/>
          <w:bCs/>
          <w:sz w:val="24"/>
          <w:szCs w:val="24"/>
        </w:rPr>
        <w:t xml:space="preserve"> </w:t>
      </w:r>
      <w:r w:rsidR="00443DA0" w:rsidRPr="002C0B76">
        <w:rPr>
          <w:b/>
          <w:bCs/>
          <w:sz w:val="24"/>
          <w:szCs w:val="24"/>
        </w:rPr>
        <w:t>Gaida Grandāna</w:t>
      </w:r>
      <w:r w:rsidR="00F37EAF" w:rsidRPr="002C0B76">
        <w:rPr>
          <w:b/>
          <w:bCs/>
          <w:sz w:val="24"/>
          <w:szCs w:val="24"/>
        </w:rPr>
        <w:t xml:space="preserve"> </w:t>
      </w:r>
      <w:r w:rsidRPr="002C0B76">
        <w:rPr>
          <w:b/>
          <w:bCs/>
          <w:sz w:val="24"/>
          <w:szCs w:val="24"/>
        </w:rPr>
        <w:t>202</w:t>
      </w:r>
      <w:r w:rsidR="00F37EAF" w:rsidRPr="002C0B76">
        <w:rPr>
          <w:b/>
          <w:bCs/>
          <w:sz w:val="24"/>
          <w:szCs w:val="24"/>
        </w:rPr>
        <w:t>3</w:t>
      </w:r>
      <w:r w:rsidRPr="002C0B76">
        <w:rPr>
          <w:b/>
          <w:bCs/>
          <w:sz w:val="24"/>
          <w:szCs w:val="24"/>
        </w:rPr>
        <w:t>.</w:t>
      </w:r>
      <w:r w:rsidR="00F55017" w:rsidRPr="002C0B76">
        <w:rPr>
          <w:b/>
          <w:bCs/>
          <w:sz w:val="24"/>
          <w:szCs w:val="24"/>
        </w:rPr>
        <w:t xml:space="preserve"> </w:t>
      </w:r>
      <w:r w:rsidRPr="002C0B76">
        <w:rPr>
          <w:b/>
          <w:bCs/>
          <w:sz w:val="24"/>
          <w:szCs w:val="24"/>
        </w:rPr>
        <w:t xml:space="preserve">gada </w:t>
      </w:r>
      <w:r w:rsidR="00F37EAF" w:rsidRPr="002C0B76">
        <w:rPr>
          <w:b/>
          <w:bCs/>
          <w:sz w:val="24"/>
          <w:szCs w:val="24"/>
        </w:rPr>
        <w:t>4</w:t>
      </w:r>
      <w:r w:rsidRPr="002C0B76">
        <w:rPr>
          <w:b/>
          <w:bCs/>
          <w:sz w:val="24"/>
          <w:szCs w:val="24"/>
        </w:rPr>
        <w:t>.</w:t>
      </w:r>
      <w:r w:rsidR="005F70D5" w:rsidRPr="002C0B76">
        <w:rPr>
          <w:b/>
          <w:bCs/>
          <w:sz w:val="24"/>
          <w:szCs w:val="24"/>
        </w:rPr>
        <w:t xml:space="preserve"> </w:t>
      </w:r>
      <w:r w:rsidR="00F37EAF" w:rsidRPr="002C0B76">
        <w:rPr>
          <w:b/>
          <w:bCs/>
          <w:sz w:val="24"/>
          <w:szCs w:val="24"/>
        </w:rPr>
        <w:t>jūlija</w:t>
      </w:r>
      <w:r w:rsidR="005F70D5" w:rsidRPr="002C0B76">
        <w:rPr>
          <w:b/>
          <w:bCs/>
          <w:sz w:val="24"/>
          <w:szCs w:val="24"/>
        </w:rPr>
        <w:t xml:space="preserve"> </w:t>
      </w:r>
      <w:r w:rsidRPr="002C0B76">
        <w:rPr>
          <w:b/>
          <w:bCs/>
          <w:sz w:val="24"/>
          <w:szCs w:val="24"/>
        </w:rPr>
        <w:t>dokumentam “</w:t>
      </w:r>
      <w:r w:rsidR="00F37EAF" w:rsidRPr="002C0B76">
        <w:rPr>
          <w:b/>
          <w:bCs/>
          <w:i/>
          <w:iCs/>
          <w:sz w:val="24"/>
          <w:szCs w:val="24"/>
        </w:rPr>
        <w:t>Par plānoto derīgo izrakteņu ieguves iespējamo ietekmi uz paredzētās darbības vietas īpaši aizsargājamām putnu sugām, kad. Nr. 80440060034, 80440060107, 80440060094</w:t>
      </w:r>
      <w:r w:rsidRPr="002C0B76">
        <w:rPr>
          <w:b/>
          <w:bCs/>
          <w:sz w:val="24"/>
          <w:szCs w:val="24"/>
        </w:rPr>
        <w:t>”</w:t>
      </w:r>
    </w:p>
    <w:p w14:paraId="501E20C4" w14:textId="18B35985" w:rsidR="009A727D" w:rsidRPr="002C0B76" w:rsidRDefault="009A727D" w:rsidP="00443DA0">
      <w:pPr>
        <w:jc w:val="center"/>
        <w:rPr>
          <w:sz w:val="24"/>
          <w:szCs w:val="24"/>
        </w:rPr>
      </w:pPr>
      <w:r w:rsidRPr="002C0B76">
        <w:rPr>
          <w:bCs/>
          <w:sz w:val="24"/>
          <w:szCs w:val="24"/>
        </w:rPr>
        <w:t xml:space="preserve"> </w:t>
      </w:r>
      <w:bookmarkStart w:id="0" w:name="_Hlk48139186"/>
    </w:p>
    <w:bookmarkEnd w:id="0"/>
    <w:p w14:paraId="74E37A26" w14:textId="658CAAFB" w:rsidR="00F91C3A" w:rsidRPr="002C0B76" w:rsidRDefault="00F37EAF" w:rsidP="00F91C3A">
      <w:pPr>
        <w:jc w:val="both"/>
        <w:rPr>
          <w:sz w:val="24"/>
          <w:szCs w:val="24"/>
        </w:rPr>
      </w:pPr>
      <w:r w:rsidRPr="002C0B76">
        <w:rPr>
          <w:rFonts w:eastAsia="Times New Roman"/>
          <w:color w:val="242424"/>
          <w:sz w:val="24"/>
          <w:szCs w:val="24"/>
          <w:lang w:eastAsia="lv-LV"/>
        </w:rPr>
        <w:t>Vides pārraudzības valsts birojs</w:t>
      </w:r>
      <w:r w:rsidR="00C96D35" w:rsidRPr="002C0B76">
        <w:rPr>
          <w:rFonts w:eastAsia="Times New Roman"/>
          <w:color w:val="242424"/>
          <w:sz w:val="24"/>
          <w:szCs w:val="24"/>
          <w:lang w:eastAsia="lv-LV"/>
        </w:rPr>
        <w:t xml:space="preserve"> (turpmāk tekstā </w:t>
      </w:r>
      <w:r w:rsidR="00C96D35" w:rsidRPr="002C0B76">
        <w:rPr>
          <w:rFonts w:eastAsia="Times New Roman"/>
          <w:i/>
          <w:iCs/>
          <w:color w:val="242424"/>
          <w:sz w:val="24"/>
          <w:szCs w:val="24"/>
          <w:lang w:eastAsia="lv-LV"/>
        </w:rPr>
        <w:t>Birojs</w:t>
      </w:r>
      <w:r w:rsidR="00C96D35" w:rsidRPr="002C0B76">
        <w:rPr>
          <w:rFonts w:eastAsia="Times New Roman"/>
          <w:color w:val="242424"/>
          <w:sz w:val="24"/>
          <w:szCs w:val="24"/>
          <w:lang w:eastAsia="lv-LV"/>
        </w:rPr>
        <w:t>)</w:t>
      </w:r>
      <w:r w:rsidR="009A727D" w:rsidRPr="002C0B76">
        <w:rPr>
          <w:rFonts w:eastAsia="Times New Roman"/>
          <w:color w:val="242424"/>
          <w:sz w:val="24"/>
          <w:szCs w:val="24"/>
          <w:lang w:eastAsia="lv-LV"/>
        </w:rPr>
        <w:t xml:space="preserve">, </w:t>
      </w:r>
      <w:r w:rsidR="00DC6CBC" w:rsidRPr="002C0B76">
        <w:rPr>
          <w:rFonts w:eastAsia="Times New Roman"/>
          <w:color w:val="242424"/>
          <w:sz w:val="24"/>
          <w:szCs w:val="24"/>
          <w:lang w:eastAsia="lv-LV"/>
        </w:rPr>
        <w:t>202</w:t>
      </w:r>
      <w:r w:rsidRPr="002C0B76">
        <w:rPr>
          <w:rFonts w:eastAsia="Times New Roman"/>
          <w:color w:val="242424"/>
          <w:sz w:val="24"/>
          <w:szCs w:val="24"/>
          <w:lang w:eastAsia="lv-LV"/>
        </w:rPr>
        <w:t>4</w:t>
      </w:r>
      <w:r w:rsidR="00DC6CBC" w:rsidRPr="002C0B76">
        <w:rPr>
          <w:rFonts w:eastAsia="Times New Roman"/>
          <w:color w:val="242424"/>
          <w:sz w:val="24"/>
          <w:szCs w:val="24"/>
          <w:lang w:eastAsia="lv-LV"/>
        </w:rPr>
        <w:t xml:space="preserve">. gada </w:t>
      </w:r>
      <w:r w:rsidR="0002552E" w:rsidRPr="002C0B76">
        <w:rPr>
          <w:rFonts w:eastAsia="Times New Roman"/>
          <w:color w:val="242424"/>
          <w:sz w:val="24"/>
          <w:szCs w:val="24"/>
          <w:lang w:eastAsia="lv-LV"/>
        </w:rPr>
        <w:t>2</w:t>
      </w:r>
      <w:r w:rsidRPr="002C0B76">
        <w:rPr>
          <w:rFonts w:eastAsia="Times New Roman"/>
          <w:color w:val="242424"/>
          <w:sz w:val="24"/>
          <w:szCs w:val="24"/>
          <w:lang w:eastAsia="lv-LV"/>
        </w:rPr>
        <w:t>7</w:t>
      </w:r>
      <w:r w:rsidR="00DC6CBC" w:rsidRPr="002C0B76">
        <w:rPr>
          <w:rFonts w:eastAsia="Times New Roman"/>
          <w:color w:val="242424"/>
          <w:sz w:val="24"/>
          <w:szCs w:val="24"/>
          <w:lang w:eastAsia="lv-LV"/>
        </w:rPr>
        <w:t xml:space="preserve">. </w:t>
      </w:r>
      <w:r w:rsidRPr="002C0B76">
        <w:rPr>
          <w:rFonts w:eastAsia="Times New Roman"/>
          <w:color w:val="242424"/>
          <w:sz w:val="24"/>
          <w:szCs w:val="24"/>
          <w:lang w:eastAsia="lv-LV"/>
        </w:rPr>
        <w:t>marta</w:t>
      </w:r>
      <w:r w:rsidR="00DC6CBC" w:rsidRPr="002C0B76">
        <w:rPr>
          <w:rFonts w:eastAsia="Times New Roman"/>
          <w:color w:val="242424"/>
          <w:sz w:val="24"/>
          <w:szCs w:val="24"/>
          <w:lang w:eastAsia="lv-LV"/>
        </w:rPr>
        <w:t xml:space="preserve"> dokumentā par ietekmes uz vidi novērtējuma ziņojumu </w:t>
      </w:r>
      <w:r w:rsidRPr="002C0B76">
        <w:rPr>
          <w:rFonts w:eastAsia="Times New Roman"/>
          <w:color w:val="242424"/>
          <w:sz w:val="24"/>
          <w:szCs w:val="24"/>
          <w:lang w:eastAsia="lv-LV"/>
        </w:rPr>
        <w:t>derīgo izrakteņu ieguvi atradnē “Asni”</w:t>
      </w:r>
      <w:r w:rsidR="00C96D35" w:rsidRPr="002C0B76">
        <w:rPr>
          <w:rFonts w:eastAsia="Times New Roman"/>
          <w:color w:val="242424"/>
          <w:sz w:val="24"/>
          <w:szCs w:val="24"/>
          <w:lang w:eastAsia="lv-LV"/>
        </w:rPr>
        <w:t xml:space="preserve"> (turpmāk tekstā </w:t>
      </w:r>
      <w:r w:rsidR="00C96D35" w:rsidRPr="002C0B76">
        <w:rPr>
          <w:rFonts w:eastAsia="Times New Roman"/>
          <w:i/>
          <w:iCs/>
          <w:color w:val="242424"/>
          <w:sz w:val="24"/>
          <w:szCs w:val="24"/>
          <w:lang w:eastAsia="lv-LV"/>
        </w:rPr>
        <w:t>Paredzētās darbības vieta</w:t>
      </w:r>
      <w:r w:rsidR="00C96D35" w:rsidRPr="002C0B76">
        <w:rPr>
          <w:rFonts w:eastAsia="Times New Roman"/>
          <w:color w:val="242424"/>
          <w:sz w:val="24"/>
          <w:szCs w:val="24"/>
          <w:lang w:eastAsia="lv-LV"/>
        </w:rPr>
        <w:t>)</w:t>
      </w:r>
      <w:r w:rsidR="00F91C3A" w:rsidRPr="002C0B76">
        <w:rPr>
          <w:rFonts w:eastAsia="Times New Roman"/>
          <w:color w:val="242424"/>
          <w:sz w:val="24"/>
          <w:szCs w:val="24"/>
          <w:lang w:eastAsia="lv-LV"/>
        </w:rPr>
        <w:t xml:space="preserve"> (</w:t>
      </w:r>
      <w:r w:rsidRPr="002C0B76">
        <w:rPr>
          <w:rFonts w:eastAsia="Times New Roman"/>
          <w:color w:val="242424"/>
          <w:sz w:val="24"/>
          <w:szCs w:val="24"/>
          <w:lang w:eastAsia="lv-LV"/>
        </w:rPr>
        <w:t>Nr. 5-01/439/2024</w:t>
      </w:r>
      <w:r w:rsidR="00F91C3A" w:rsidRPr="002C0B76">
        <w:rPr>
          <w:rFonts w:eastAsia="Times New Roman"/>
          <w:color w:val="242424"/>
          <w:sz w:val="24"/>
          <w:szCs w:val="24"/>
          <w:lang w:eastAsia="lv-LV"/>
        </w:rPr>
        <w:t>)</w:t>
      </w:r>
      <w:r w:rsidR="00DC6CBC" w:rsidRPr="002C0B76">
        <w:rPr>
          <w:rFonts w:eastAsia="Times New Roman"/>
          <w:color w:val="242424"/>
          <w:sz w:val="24"/>
          <w:szCs w:val="24"/>
          <w:lang w:eastAsia="lv-LV"/>
        </w:rPr>
        <w:t xml:space="preserve"> </w:t>
      </w:r>
      <w:r w:rsidR="009A727D" w:rsidRPr="002C0B76">
        <w:rPr>
          <w:rFonts w:eastAsia="Times New Roman"/>
          <w:color w:val="242424"/>
          <w:sz w:val="24"/>
          <w:szCs w:val="24"/>
          <w:lang w:eastAsia="lv-LV"/>
        </w:rPr>
        <w:t xml:space="preserve">ir </w:t>
      </w:r>
      <w:r w:rsidR="0061359F" w:rsidRPr="002C0B76">
        <w:rPr>
          <w:rFonts w:eastAsia="Times New Roman"/>
          <w:color w:val="242424"/>
          <w:sz w:val="24"/>
          <w:szCs w:val="24"/>
          <w:lang w:eastAsia="lv-LV"/>
        </w:rPr>
        <w:t>norādīj</w:t>
      </w:r>
      <w:r w:rsidRPr="002C0B76">
        <w:rPr>
          <w:rFonts w:eastAsia="Times New Roman"/>
          <w:color w:val="242424"/>
          <w:sz w:val="24"/>
          <w:szCs w:val="24"/>
          <w:lang w:eastAsia="lv-LV"/>
        </w:rPr>
        <w:t>is</w:t>
      </w:r>
      <w:r w:rsidR="0061359F" w:rsidRPr="002C0B76">
        <w:rPr>
          <w:rFonts w:eastAsia="Times New Roman"/>
          <w:color w:val="242424"/>
          <w:sz w:val="24"/>
          <w:szCs w:val="24"/>
          <w:lang w:eastAsia="lv-LV"/>
        </w:rPr>
        <w:t>, ka nepieciešama</w:t>
      </w:r>
      <w:r w:rsidR="009A727D" w:rsidRPr="002C0B76">
        <w:rPr>
          <w:rFonts w:eastAsia="Times New Roman"/>
          <w:color w:val="242424"/>
          <w:sz w:val="24"/>
          <w:szCs w:val="24"/>
          <w:lang w:eastAsia="lv-LV"/>
        </w:rPr>
        <w:t xml:space="preserve"> papildus informācija</w:t>
      </w:r>
      <w:r w:rsidR="00F91C3A" w:rsidRPr="002C0B76">
        <w:rPr>
          <w:rFonts w:eastAsia="Times New Roman"/>
          <w:color w:val="242424"/>
          <w:sz w:val="24"/>
          <w:szCs w:val="24"/>
          <w:lang w:eastAsia="lv-LV"/>
        </w:rPr>
        <w:t xml:space="preserve"> </w:t>
      </w:r>
      <w:r w:rsidR="00F91C3A" w:rsidRPr="002C0B76">
        <w:rPr>
          <w:sz w:val="24"/>
          <w:szCs w:val="24"/>
        </w:rPr>
        <w:t xml:space="preserve">2023. gada </w:t>
      </w:r>
      <w:r w:rsidRPr="002C0B76">
        <w:rPr>
          <w:sz w:val="24"/>
          <w:szCs w:val="24"/>
        </w:rPr>
        <w:t>8</w:t>
      </w:r>
      <w:r w:rsidR="00F91C3A" w:rsidRPr="002C0B76">
        <w:rPr>
          <w:sz w:val="24"/>
          <w:szCs w:val="24"/>
        </w:rPr>
        <w:t>. </w:t>
      </w:r>
      <w:r w:rsidRPr="002C0B76">
        <w:rPr>
          <w:sz w:val="24"/>
          <w:szCs w:val="24"/>
        </w:rPr>
        <w:t>septembrī</w:t>
      </w:r>
      <w:r w:rsidR="00F91C3A" w:rsidRPr="002C0B76">
        <w:rPr>
          <w:sz w:val="24"/>
          <w:szCs w:val="24"/>
        </w:rPr>
        <w:t xml:space="preserve"> izvērtēšanai iesniegtajā</w:t>
      </w:r>
      <w:r w:rsidRPr="002C0B76">
        <w:rPr>
          <w:sz w:val="24"/>
          <w:szCs w:val="24"/>
        </w:rPr>
        <w:t>, aktualizētajā</w:t>
      </w:r>
      <w:r w:rsidR="00F91C3A" w:rsidRPr="002C0B76">
        <w:rPr>
          <w:sz w:val="24"/>
          <w:szCs w:val="24"/>
        </w:rPr>
        <w:t xml:space="preserve"> </w:t>
      </w:r>
      <w:r w:rsidR="00F91C3A" w:rsidRPr="002C0B76">
        <w:rPr>
          <w:sz w:val="24"/>
          <w:szCs w:val="24"/>
          <w:shd w:val="clear" w:color="auto" w:fill="FFFFFF"/>
        </w:rPr>
        <w:t xml:space="preserve">ietekmes uz vidi </w:t>
      </w:r>
      <w:r w:rsidR="00F91C3A" w:rsidRPr="002C0B76">
        <w:rPr>
          <w:sz w:val="24"/>
          <w:szCs w:val="24"/>
        </w:rPr>
        <w:t>novērtējum</w:t>
      </w:r>
      <w:r w:rsidR="0002552E" w:rsidRPr="002C0B76">
        <w:rPr>
          <w:sz w:val="24"/>
          <w:szCs w:val="24"/>
        </w:rPr>
        <w:t>a</w:t>
      </w:r>
      <w:r w:rsidR="00C96D35" w:rsidRPr="002C0B76">
        <w:rPr>
          <w:sz w:val="24"/>
          <w:szCs w:val="24"/>
        </w:rPr>
        <w:t xml:space="preserve"> ziņojuma</w:t>
      </w:r>
      <w:r w:rsidR="0002552E" w:rsidRPr="002C0B76">
        <w:rPr>
          <w:sz w:val="24"/>
          <w:szCs w:val="24"/>
        </w:rPr>
        <w:t xml:space="preserve"> redakcijai </w:t>
      </w:r>
      <w:r w:rsidR="00F91C3A" w:rsidRPr="002C0B76">
        <w:rPr>
          <w:sz w:val="24"/>
          <w:szCs w:val="24"/>
        </w:rPr>
        <w:t>ko sagatavojusi SIA “</w:t>
      </w:r>
      <w:r w:rsidR="00F91C3A" w:rsidRPr="002C0B76">
        <w:rPr>
          <w:rFonts w:eastAsia="Times New Roman"/>
          <w:i/>
          <w:iCs/>
          <w:sz w:val="24"/>
          <w:szCs w:val="24"/>
        </w:rPr>
        <w:t>Enviroprojekts</w:t>
      </w:r>
      <w:r w:rsidR="00F91C3A" w:rsidRPr="002C0B76">
        <w:rPr>
          <w:sz w:val="24"/>
          <w:szCs w:val="24"/>
        </w:rPr>
        <w:t>”.</w:t>
      </w:r>
      <w:r w:rsidR="00C67CA6" w:rsidRPr="002C0B76">
        <w:rPr>
          <w:sz w:val="24"/>
          <w:szCs w:val="24"/>
        </w:rPr>
        <w:t xml:space="preserve"> </w:t>
      </w:r>
    </w:p>
    <w:p w14:paraId="4B3F27E4" w14:textId="77777777" w:rsidR="00C96D35" w:rsidRPr="002C0B76" w:rsidRDefault="00C96D35" w:rsidP="00F91C3A">
      <w:pPr>
        <w:jc w:val="both"/>
        <w:rPr>
          <w:sz w:val="24"/>
          <w:szCs w:val="24"/>
        </w:rPr>
      </w:pPr>
      <w:r w:rsidRPr="002C0B76">
        <w:rPr>
          <w:sz w:val="24"/>
          <w:szCs w:val="24"/>
        </w:rPr>
        <w:t xml:space="preserve">Birojs konstatē, ka no ornitoloģijas eksperta sniegtā vērtējuma izriet, ka paredzētās darbības vietā, konstatētas tādas īpaši aizsargājamu putnu sugas kā brūnā čakste </w:t>
      </w:r>
      <w:r w:rsidRPr="002C0B76">
        <w:rPr>
          <w:i/>
          <w:iCs/>
          <w:sz w:val="24"/>
          <w:szCs w:val="24"/>
        </w:rPr>
        <w:t>Lanius collurio</w:t>
      </w:r>
      <w:r w:rsidRPr="002C0B76">
        <w:rPr>
          <w:sz w:val="24"/>
          <w:szCs w:val="24"/>
        </w:rPr>
        <w:t xml:space="preserve"> un sila cīrulis </w:t>
      </w:r>
      <w:r w:rsidRPr="002C0B76">
        <w:rPr>
          <w:i/>
          <w:iCs/>
          <w:sz w:val="24"/>
          <w:szCs w:val="24"/>
        </w:rPr>
        <w:t>Lullula arborea</w:t>
      </w:r>
      <w:r w:rsidRPr="002C0B76">
        <w:rPr>
          <w:sz w:val="24"/>
          <w:szCs w:val="24"/>
        </w:rPr>
        <w:t xml:space="preserve">, bet paredzētās darbības vietas apkārtnē arī zaļā vārna </w:t>
      </w:r>
      <w:r w:rsidRPr="002C0B76">
        <w:rPr>
          <w:i/>
          <w:iCs/>
          <w:sz w:val="24"/>
          <w:szCs w:val="24"/>
        </w:rPr>
        <w:t>Coracias garrulus</w:t>
      </w:r>
      <w:r w:rsidRPr="002C0B76">
        <w:rPr>
          <w:sz w:val="24"/>
          <w:szCs w:val="24"/>
        </w:rPr>
        <w:t xml:space="preserve">. </w:t>
      </w:r>
    </w:p>
    <w:p w14:paraId="48F21614" w14:textId="77777777" w:rsidR="00C96D35" w:rsidRPr="002C0B76" w:rsidRDefault="00C96D35" w:rsidP="00F91C3A">
      <w:pPr>
        <w:jc w:val="both"/>
        <w:rPr>
          <w:sz w:val="24"/>
          <w:szCs w:val="24"/>
        </w:rPr>
      </w:pPr>
      <w:r w:rsidRPr="002C0B76">
        <w:rPr>
          <w:sz w:val="24"/>
          <w:szCs w:val="24"/>
        </w:rPr>
        <w:t xml:space="preserve">Saskaņā ar likuma </w:t>
      </w:r>
      <w:r w:rsidRPr="002C0B76">
        <w:rPr>
          <w:i/>
          <w:iCs/>
          <w:sz w:val="24"/>
          <w:szCs w:val="24"/>
        </w:rPr>
        <w:t>“Par īpaši aizsargājamām dabas teritorijām”</w:t>
      </w:r>
      <w:r w:rsidRPr="002C0B76">
        <w:rPr>
          <w:sz w:val="24"/>
          <w:szCs w:val="24"/>
        </w:rPr>
        <w:t xml:space="preserve"> (turpmāk tekstā – ĪADT likums) pielikuma 300. punktu </w:t>
      </w:r>
      <w:r w:rsidRPr="002C0B76">
        <w:rPr>
          <w:i/>
          <w:iCs/>
          <w:sz w:val="24"/>
          <w:szCs w:val="24"/>
        </w:rPr>
        <w:t>Natura</w:t>
      </w:r>
      <w:r w:rsidRPr="002C0B76">
        <w:rPr>
          <w:sz w:val="24"/>
          <w:szCs w:val="24"/>
        </w:rPr>
        <w:t xml:space="preserve"> </w:t>
      </w:r>
      <w:r w:rsidRPr="002C0B76">
        <w:rPr>
          <w:i/>
          <w:iCs/>
          <w:sz w:val="24"/>
          <w:szCs w:val="24"/>
        </w:rPr>
        <w:t>2000</w:t>
      </w:r>
      <w:r w:rsidRPr="002C0B76">
        <w:rPr>
          <w:sz w:val="24"/>
          <w:szCs w:val="24"/>
        </w:rPr>
        <w:t xml:space="preserve"> teritorija aizsargājamo ainavu apvidus “Ādaži” (turpmāk tekstā AAA “Ādaži”) izveidota arī iepriekš minēto putnu sugu aizsardzībai.</w:t>
      </w:r>
    </w:p>
    <w:p w14:paraId="43E81100" w14:textId="77777777" w:rsidR="00C96D35" w:rsidRPr="002C0B76" w:rsidRDefault="00C96D35" w:rsidP="00F91C3A">
      <w:pPr>
        <w:jc w:val="both"/>
        <w:rPr>
          <w:sz w:val="24"/>
          <w:szCs w:val="24"/>
        </w:rPr>
      </w:pPr>
      <w:r w:rsidRPr="002C0B76">
        <w:rPr>
          <w:sz w:val="24"/>
          <w:szCs w:val="24"/>
        </w:rPr>
        <w:t xml:space="preserve">No ornitoloģijas eksperta sniegtā atzinuma izriet - </w:t>
      </w:r>
      <w:r w:rsidRPr="002C0B76">
        <w:rPr>
          <w:i/>
          <w:iCs/>
          <w:sz w:val="24"/>
          <w:szCs w:val="24"/>
        </w:rPr>
        <w:t>“Paredzētās darbības vietā ir sastopami biotopi, kas piemēroti kā zaļās vārnas barošanās vieta. 2023. gadā ir konstatēti vairāki zaļo vārnu novērojumi paredzētās darbības vietas tuvumā, nevar izslēgt zaļo vārnu barošanos paredzētās darbības vietā.”</w:t>
      </w:r>
      <w:r w:rsidRPr="002C0B76">
        <w:rPr>
          <w:sz w:val="24"/>
          <w:szCs w:val="24"/>
        </w:rPr>
        <w:t xml:space="preserve"> Minētās putnu sugas iekļautas arī Eiropas Parlamenta un Padomes Direktīvas 2009/147/EK (2009. gada 30. novembris) par savvaļas putnu aizsardzību 1. pielikumā.</w:t>
      </w:r>
    </w:p>
    <w:p w14:paraId="332922E3" w14:textId="77777777" w:rsidR="00C96D35" w:rsidRPr="002C0B76" w:rsidRDefault="00C96D35" w:rsidP="00F91C3A">
      <w:pPr>
        <w:jc w:val="both"/>
        <w:rPr>
          <w:sz w:val="24"/>
          <w:szCs w:val="24"/>
        </w:rPr>
      </w:pPr>
      <w:r w:rsidRPr="002C0B76">
        <w:rPr>
          <w:sz w:val="24"/>
          <w:szCs w:val="24"/>
        </w:rPr>
        <w:t xml:space="preserve">No ornitoloģijas eksperta sniegtā novērtējuma izriet, ka paredzētā darbība neradīs būtiski negatīvu ietekmi uz izpētes teritorijas un tuvākās apkārtnes ornitofaunu, Latvijā un Eiropas Savienībā (turpmāk - ES) īpaši aizsargājamām putnu sugām. </w:t>
      </w:r>
    </w:p>
    <w:p w14:paraId="33F3A17A" w14:textId="77777777" w:rsidR="00C96D35" w:rsidRPr="002C0B76" w:rsidRDefault="00C96D35" w:rsidP="00F91C3A">
      <w:pPr>
        <w:jc w:val="both"/>
        <w:rPr>
          <w:sz w:val="24"/>
          <w:szCs w:val="24"/>
        </w:rPr>
      </w:pPr>
      <w:r w:rsidRPr="002C0B76">
        <w:rPr>
          <w:sz w:val="24"/>
          <w:szCs w:val="24"/>
        </w:rPr>
        <w:t xml:space="preserve">Vienlaikus novērtēts, ka, realizējot paredzēto darbību, negatīvi var tikt ietekmēti apkārtējā teritorijā ligzdojošo zaļo vārnu, kas novērtēta kā Latvijā kritiski apdraudēta un samērā reti sastopamu aizsargājamu putnu sugu, (arī pupuķu </w:t>
      </w:r>
      <w:r w:rsidRPr="002C0B76">
        <w:rPr>
          <w:i/>
          <w:iCs/>
          <w:sz w:val="24"/>
          <w:szCs w:val="24"/>
        </w:rPr>
        <w:t>Upupa epops</w:t>
      </w:r>
      <w:r w:rsidRPr="002C0B76">
        <w:rPr>
          <w:sz w:val="24"/>
          <w:szCs w:val="24"/>
        </w:rPr>
        <w:t xml:space="preserve">) barošanās apstākļi. </w:t>
      </w:r>
    </w:p>
    <w:p w14:paraId="5C4A6088" w14:textId="71535F8C" w:rsidR="00C96D35" w:rsidRPr="002C0B76" w:rsidRDefault="00C96D35" w:rsidP="00F91C3A">
      <w:pPr>
        <w:jc w:val="both"/>
        <w:rPr>
          <w:sz w:val="24"/>
          <w:szCs w:val="24"/>
        </w:rPr>
      </w:pPr>
      <w:r w:rsidRPr="002C0B76">
        <w:rPr>
          <w:sz w:val="24"/>
          <w:szCs w:val="24"/>
        </w:rPr>
        <w:t xml:space="preserve">Ņemot vērā iepriekš norādīto un izvērtējis ietekmes uz vidi novērtējuma ziņojumu, birojs konstatē, ka no ornitoloģijas eksperta sniegtā vērtējuma neizriet, ka paredzētās darbības ietekme uz minētajām putnu sugām, kā arī uz citām putnu sugām, kuru aizsardzībai izveidota arī </w:t>
      </w:r>
      <w:r w:rsidRPr="002C0B76">
        <w:rPr>
          <w:i/>
          <w:iCs/>
          <w:sz w:val="24"/>
          <w:szCs w:val="24"/>
        </w:rPr>
        <w:t>Natura 2000</w:t>
      </w:r>
      <w:r w:rsidRPr="002C0B76">
        <w:rPr>
          <w:sz w:val="24"/>
          <w:szCs w:val="24"/>
        </w:rPr>
        <w:t xml:space="preserve"> teritorija AAA “Ādaži”, būtu vērtēta kontekstā ar iespējamo ietekmi uz </w:t>
      </w:r>
      <w:r w:rsidRPr="002C0B76">
        <w:rPr>
          <w:i/>
          <w:iCs/>
          <w:sz w:val="24"/>
          <w:szCs w:val="24"/>
        </w:rPr>
        <w:t>Natura 2000</w:t>
      </w:r>
      <w:r w:rsidRPr="002C0B76">
        <w:rPr>
          <w:sz w:val="24"/>
          <w:szCs w:val="24"/>
        </w:rPr>
        <w:t xml:space="preserve"> teritorijas ekoloģiskajām funkcijām, integritāti un tā šajā aspektā nav pretrunā ar tās izveidošanas un aizsardzības mērķiem.</w:t>
      </w:r>
    </w:p>
    <w:p w14:paraId="6FE9BD0F" w14:textId="7423C5EC" w:rsidR="00C96D35" w:rsidRPr="002C0B76" w:rsidRDefault="00CC2435" w:rsidP="00F91C3A">
      <w:pPr>
        <w:jc w:val="both"/>
        <w:rPr>
          <w:sz w:val="24"/>
          <w:szCs w:val="24"/>
        </w:rPr>
      </w:pPr>
      <w:r w:rsidRPr="002C0B76">
        <w:rPr>
          <w:sz w:val="24"/>
          <w:szCs w:val="24"/>
        </w:rPr>
        <w:t xml:space="preserve">Birojs norāda, ka lai noteiktu paredzētās darbības iespējamo ietekmi uz </w:t>
      </w:r>
      <w:r w:rsidRPr="002C0B76">
        <w:rPr>
          <w:i/>
          <w:iCs/>
          <w:sz w:val="24"/>
          <w:szCs w:val="24"/>
        </w:rPr>
        <w:t>Natura 2000</w:t>
      </w:r>
      <w:r w:rsidRPr="002C0B76">
        <w:rPr>
          <w:sz w:val="24"/>
          <w:szCs w:val="24"/>
        </w:rPr>
        <w:t xml:space="preserve"> teritoriju, ne tikai jāapzina attiecīgās teritorijas, bet arī dzīvotnes un sugas, kuru sastopamība tajās ir būtiska, kā arī konkrētajai teritorijai noteiktie aizsardzības mērķi. Iespējama būtiska ietekme ir jebkura ietekme, ko plāns vai projekts rada, ko var pamatoti paredzēt un kas negatīvi un būtiski ietekmētu aizsardzības mērķus, kuri ir noteikti </w:t>
      </w:r>
      <w:r w:rsidRPr="002C0B76">
        <w:rPr>
          <w:i/>
          <w:iCs/>
          <w:sz w:val="24"/>
          <w:szCs w:val="24"/>
        </w:rPr>
        <w:t>Natura 2000</w:t>
      </w:r>
      <w:r w:rsidRPr="002C0B76">
        <w:rPr>
          <w:sz w:val="24"/>
          <w:szCs w:val="24"/>
        </w:rPr>
        <w:t xml:space="preserve"> teritorijā sastopamajām dzīvotnēm un sugām, kuru sastopamība ir būtiska. Ietekme var veidoties gan </w:t>
      </w:r>
      <w:r w:rsidRPr="002C0B76">
        <w:rPr>
          <w:i/>
          <w:iCs/>
          <w:sz w:val="24"/>
          <w:szCs w:val="24"/>
        </w:rPr>
        <w:t>Natura 2000</w:t>
      </w:r>
      <w:r w:rsidRPr="002C0B76">
        <w:rPr>
          <w:sz w:val="24"/>
          <w:szCs w:val="24"/>
        </w:rPr>
        <w:t xml:space="preserve"> teritorijā, gan ārpus tās veiktu darbību rezultātā, kā arī ietekme var veidoties arī kopā ar citiem plāniem vai projektiem.</w:t>
      </w:r>
    </w:p>
    <w:p w14:paraId="39B325FE" w14:textId="46600082" w:rsidR="00CC2435" w:rsidRPr="002C0B76" w:rsidRDefault="00CC2435" w:rsidP="00F91C3A">
      <w:pPr>
        <w:jc w:val="both"/>
        <w:rPr>
          <w:sz w:val="24"/>
          <w:szCs w:val="24"/>
        </w:rPr>
      </w:pPr>
      <w:r w:rsidRPr="002C0B76">
        <w:rPr>
          <w:sz w:val="24"/>
          <w:szCs w:val="24"/>
        </w:rPr>
        <w:t xml:space="preserve">Atbilstoši Padomes Direktīvai 92/43/EEK (1992. gada 21. maijs) par dabisko dzīvotņu, savvaļas faunas un floras aizsardzību 6. panta 3. punktā noteiktajam ietekme uz īpaši aizsargājamu teritoriju, ievērojot tās aizsardzības mērķus, ir jāizvērtē, ja plāns vai </w:t>
      </w:r>
      <w:r w:rsidRPr="002C0B76">
        <w:rPr>
          <w:sz w:val="24"/>
          <w:szCs w:val="24"/>
        </w:rPr>
        <w:lastRenderedPageBreak/>
        <w:t xml:space="preserve">projekts atsevišķi vai kopā ar citiem plāniem vai projektiem varētu būtiski ietekmēt </w:t>
      </w:r>
      <w:r w:rsidRPr="002C0B76">
        <w:rPr>
          <w:i/>
          <w:iCs/>
          <w:sz w:val="24"/>
          <w:szCs w:val="24"/>
        </w:rPr>
        <w:t>Natura 2000</w:t>
      </w:r>
      <w:r w:rsidRPr="002C0B76">
        <w:rPr>
          <w:sz w:val="24"/>
          <w:szCs w:val="24"/>
        </w:rPr>
        <w:t xml:space="preserve"> teritoriju.</w:t>
      </w:r>
    </w:p>
    <w:p w14:paraId="009AA086" w14:textId="08D3590D" w:rsidR="00FE1FEE" w:rsidRPr="002C0B76" w:rsidRDefault="00FE1FEE" w:rsidP="00F91C3A">
      <w:pPr>
        <w:jc w:val="both"/>
        <w:rPr>
          <w:sz w:val="24"/>
          <w:szCs w:val="24"/>
        </w:rPr>
      </w:pPr>
      <w:r w:rsidRPr="002C0B76">
        <w:rPr>
          <w:sz w:val="24"/>
          <w:szCs w:val="24"/>
        </w:rPr>
        <w:t xml:space="preserve">Saskaņā ar Dabas aizsardzības pārvaldē pieejamo informāciju, </w:t>
      </w:r>
      <w:r w:rsidRPr="002C0B76">
        <w:rPr>
          <w:i/>
          <w:iCs/>
          <w:sz w:val="24"/>
          <w:szCs w:val="24"/>
        </w:rPr>
        <w:t xml:space="preserve">Natura 2000 </w:t>
      </w:r>
      <w:r w:rsidRPr="002C0B76">
        <w:rPr>
          <w:sz w:val="24"/>
          <w:szCs w:val="24"/>
        </w:rPr>
        <w:t>teritorijas,</w:t>
      </w:r>
      <w:r w:rsidR="009E0200" w:rsidRPr="002C0B76">
        <w:rPr>
          <w:sz w:val="24"/>
          <w:szCs w:val="24"/>
        </w:rPr>
        <w:t xml:space="preserve"> vienas no </w:t>
      </w:r>
      <w:r w:rsidRPr="002C0B76">
        <w:rPr>
          <w:sz w:val="24"/>
          <w:szCs w:val="24"/>
        </w:rPr>
        <w:t>AAA “Ādaži” teritoriju kvalificējošā</w:t>
      </w:r>
      <w:r w:rsidR="009E0200" w:rsidRPr="002C0B76">
        <w:rPr>
          <w:sz w:val="24"/>
          <w:szCs w:val="24"/>
        </w:rPr>
        <w:t>m</w:t>
      </w:r>
      <w:r w:rsidRPr="002C0B76">
        <w:rPr>
          <w:sz w:val="24"/>
          <w:szCs w:val="24"/>
        </w:rPr>
        <w:t xml:space="preserve"> </w:t>
      </w:r>
      <w:r w:rsidR="009E0200" w:rsidRPr="002C0B76">
        <w:rPr>
          <w:sz w:val="24"/>
          <w:szCs w:val="24"/>
        </w:rPr>
        <w:t xml:space="preserve">putnu </w:t>
      </w:r>
      <w:r w:rsidRPr="002C0B76">
        <w:rPr>
          <w:sz w:val="24"/>
          <w:szCs w:val="24"/>
        </w:rPr>
        <w:t>sug</w:t>
      </w:r>
      <w:r w:rsidR="009E0200" w:rsidRPr="002C0B76">
        <w:rPr>
          <w:sz w:val="24"/>
          <w:szCs w:val="24"/>
        </w:rPr>
        <w:t>ām</w:t>
      </w:r>
      <w:r w:rsidRPr="002C0B76">
        <w:rPr>
          <w:sz w:val="24"/>
          <w:szCs w:val="24"/>
        </w:rPr>
        <w:t xml:space="preserve"> ir </w:t>
      </w:r>
      <w:r w:rsidR="009E0200" w:rsidRPr="002C0B76">
        <w:rPr>
          <w:sz w:val="24"/>
          <w:szCs w:val="24"/>
        </w:rPr>
        <w:t>zaļā vārna, brūnā čakste un sila cīrulis, kuru ligzdošana vai iespējama ligzdošana</w:t>
      </w:r>
      <w:r w:rsidR="00305A96" w:rsidRPr="002C0B76">
        <w:rPr>
          <w:sz w:val="24"/>
          <w:szCs w:val="24"/>
        </w:rPr>
        <w:t>; piemērotas barošanās vietas</w:t>
      </w:r>
      <w:r w:rsidR="009E0200" w:rsidRPr="002C0B76">
        <w:rPr>
          <w:sz w:val="24"/>
          <w:szCs w:val="24"/>
        </w:rPr>
        <w:t xml:space="preserve"> ir konstatēta paredzētās darbības vietā vai tās apkārtnē.</w:t>
      </w:r>
    </w:p>
    <w:p w14:paraId="57252159" w14:textId="5AAD4F9C" w:rsidR="009E0200" w:rsidRPr="002C0B76" w:rsidRDefault="009E0200" w:rsidP="00F91C3A">
      <w:pPr>
        <w:jc w:val="both"/>
        <w:rPr>
          <w:sz w:val="24"/>
          <w:szCs w:val="24"/>
        </w:rPr>
      </w:pPr>
      <w:r w:rsidRPr="002C0B76">
        <w:rPr>
          <w:sz w:val="24"/>
          <w:szCs w:val="24"/>
        </w:rPr>
        <w:t xml:space="preserve">Eksperta 04.07.2023. sagatavotajā atzinumā ir norādīts, ka, lai mazinātu paredzētās darbības ietekmi </w:t>
      </w:r>
      <w:r w:rsidR="00305A96" w:rsidRPr="002C0B76">
        <w:rPr>
          <w:sz w:val="24"/>
          <w:szCs w:val="24"/>
        </w:rPr>
        <w:t xml:space="preserve">uz īpaši aizsargājamu putnu sugu ligzdošanu, pēc iespējas jāsamazina smilts ieguves platības biotopa 2130* </w:t>
      </w:r>
      <w:r w:rsidR="00305A96" w:rsidRPr="002C0B76">
        <w:rPr>
          <w:i/>
          <w:iCs/>
          <w:sz w:val="24"/>
          <w:szCs w:val="24"/>
        </w:rPr>
        <w:t>Ar lakstaugiem klātas pelēkās kāpas</w:t>
      </w:r>
      <w:r w:rsidR="00305A96" w:rsidRPr="002C0B76">
        <w:rPr>
          <w:sz w:val="24"/>
          <w:szCs w:val="24"/>
        </w:rPr>
        <w:t xml:space="preserve"> aizņemtajā teritorijā, kas ir nozīmīgākā apkārtējā teritorijā ligzdojošo Latvijā un ES īpaši aizsargājamu, ar sausiem un smiltāju biotopiem saistītu, putnu sugu ligzdošanas un barošanās vieta. ES nozīmes biotopu teritorijā rekomendējams vispār neuzsākt plānoto saimniecisko darbību.</w:t>
      </w:r>
    </w:p>
    <w:p w14:paraId="6F3A2186" w14:textId="4E5D011F" w:rsidR="00305A96" w:rsidRDefault="00305A96" w:rsidP="00F91C3A">
      <w:pPr>
        <w:jc w:val="both"/>
        <w:rPr>
          <w:sz w:val="24"/>
          <w:szCs w:val="24"/>
        </w:rPr>
      </w:pPr>
      <w:r w:rsidRPr="002C0B76">
        <w:rPr>
          <w:sz w:val="24"/>
          <w:szCs w:val="24"/>
        </w:rPr>
        <w:t>Eksperts apstiprina jau iepriekš sagatavotajā atzinumā pausto apgalvojumu, ka veicot derīgo izrakteņu ieguvi var tikt būtiski negatīvi ietekmēti apkārtējā teritorijā ligzdojošo zaļo vārnu barošanās apstākļi.</w:t>
      </w:r>
      <w:r w:rsidR="00425439">
        <w:rPr>
          <w:sz w:val="24"/>
          <w:szCs w:val="24"/>
        </w:rPr>
        <w:t xml:space="preserve"> </w:t>
      </w:r>
    </w:p>
    <w:p w14:paraId="6F90001E" w14:textId="70C08324" w:rsidR="001C1821" w:rsidRPr="00141D30" w:rsidRDefault="00425439" w:rsidP="00F91C3A">
      <w:pPr>
        <w:jc w:val="both"/>
        <w:rPr>
          <w:sz w:val="24"/>
          <w:szCs w:val="24"/>
        </w:rPr>
      </w:pPr>
      <w:r>
        <w:rPr>
          <w:sz w:val="24"/>
          <w:szCs w:val="24"/>
        </w:rPr>
        <w:t xml:space="preserve">Paredzētās darbības vietas apkārtnē konstatētās zaļās vārnas visticamāk ligzdo ārpus </w:t>
      </w:r>
      <w:r w:rsidRPr="002C0B76">
        <w:rPr>
          <w:i/>
          <w:iCs/>
          <w:sz w:val="24"/>
          <w:szCs w:val="24"/>
        </w:rPr>
        <w:t>Natura 2000</w:t>
      </w:r>
      <w:r w:rsidRPr="002C0B76">
        <w:rPr>
          <w:sz w:val="24"/>
          <w:szCs w:val="24"/>
        </w:rPr>
        <w:t xml:space="preserve"> teritorijas</w:t>
      </w:r>
      <w:r w:rsidR="00141D30">
        <w:rPr>
          <w:sz w:val="24"/>
          <w:szCs w:val="24"/>
        </w:rPr>
        <w:t xml:space="preserve">, tomēr zaļās vārnas ligzdošana paredzētās darbības vietas tiešā tuvumā esošajā AAA “Ādaži” daļā ir sagaidāma, veicot </w:t>
      </w:r>
      <w:r w:rsidR="00141D30" w:rsidRPr="002C0B76">
        <w:rPr>
          <w:i/>
          <w:iCs/>
          <w:sz w:val="24"/>
          <w:szCs w:val="24"/>
        </w:rPr>
        <w:t>Natura 2000</w:t>
      </w:r>
      <w:r w:rsidR="00141D30">
        <w:rPr>
          <w:i/>
          <w:iCs/>
          <w:sz w:val="24"/>
          <w:szCs w:val="24"/>
        </w:rPr>
        <w:t xml:space="preserve"> </w:t>
      </w:r>
      <w:r w:rsidR="00141D30">
        <w:rPr>
          <w:sz w:val="24"/>
          <w:szCs w:val="24"/>
        </w:rPr>
        <w:t>teritorijā ietilpstošo ES nozīmes biotopu apsaimniekošanu. Par zaļās vārnas ligzdošanas un barošanās dzīvotni ir uzskatāmi visi sausieņu ES nozīmes biotopi paredzētās darbības vietas apkārtnē.</w:t>
      </w:r>
    </w:p>
    <w:p w14:paraId="50DE32BE" w14:textId="632AA60C" w:rsidR="00305A96" w:rsidRPr="002C0B76" w:rsidRDefault="00305A96" w:rsidP="00F91C3A">
      <w:pPr>
        <w:jc w:val="both"/>
        <w:rPr>
          <w:sz w:val="24"/>
          <w:szCs w:val="24"/>
        </w:rPr>
      </w:pPr>
      <w:r w:rsidRPr="002C0B76">
        <w:rPr>
          <w:sz w:val="24"/>
          <w:szCs w:val="24"/>
        </w:rPr>
        <w:t>Lai nodrošinātu sugu un biotopu aizsardzību, ka</w:t>
      </w:r>
      <w:r w:rsidR="00AA4CA2" w:rsidRPr="002C0B76">
        <w:rPr>
          <w:sz w:val="24"/>
          <w:szCs w:val="24"/>
        </w:rPr>
        <w:t xml:space="preserve">s atrodas ārpus </w:t>
      </w:r>
      <w:r w:rsidR="00AA4CA2" w:rsidRPr="002C0B76">
        <w:rPr>
          <w:i/>
          <w:iCs/>
          <w:sz w:val="24"/>
          <w:szCs w:val="24"/>
        </w:rPr>
        <w:t>Natura 2000</w:t>
      </w:r>
      <w:r w:rsidR="00AA4CA2" w:rsidRPr="002C0B76">
        <w:rPr>
          <w:sz w:val="24"/>
          <w:szCs w:val="24"/>
        </w:rPr>
        <w:t xml:space="preserve"> teritorijas, AAA “Ādaži”, eksperta ieskatā rekomendējams veikt esošās </w:t>
      </w:r>
      <w:r w:rsidR="00AA4CA2" w:rsidRPr="002C0B76">
        <w:rPr>
          <w:i/>
          <w:iCs/>
          <w:sz w:val="24"/>
          <w:szCs w:val="24"/>
        </w:rPr>
        <w:t xml:space="preserve">Natura 2000 teritorijas </w:t>
      </w:r>
      <w:r w:rsidR="00AA4CA2" w:rsidRPr="002C0B76">
        <w:rPr>
          <w:sz w:val="24"/>
          <w:szCs w:val="24"/>
        </w:rPr>
        <w:t>robežu pārskatīšanu un ir rekomendējama teritorijas paplašināšana, prioritāri</w:t>
      </w:r>
      <w:r w:rsidR="002C0B76" w:rsidRPr="002C0B76">
        <w:rPr>
          <w:sz w:val="24"/>
          <w:szCs w:val="24"/>
        </w:rPr>
        <w:t>,</w:t>
      </w:r>
      <w:r w:rsidR="00AA4CA2" w:rsidRPr="002C0B76">
        <w:rPr>
          <w:sz w:val="24"/>
          <w:szCs w:val="24"/>
        </w:rPr>
        <w:t xml:space="preserve"> teritorijas paplašinājumā iekļaujot piegulošo ES nozīmes biotopu teritoriju.</w:t>
      </w:r>
      <w:r w:rsidR="005765FB" w:rsidRPr="002C0B76">
        <w:rPr>
          <w:sz w:val="24"/>
          <w:szCs w:val="24"/>
        </w:rPr>
        <w:t xml:space="preserve"> Tieši ES nozīmes biotopu teritorijas ir uzskatāmas par Latvijā un ES īpaši aizsargājamu putnu sugu dzīvotni</w:t>
      </w:r>
      <w:r w:rsidR="002C0B76" w:rsidRPr="002C0B76">
        <w:rPr>
          <w:sz w:val="24"/>
          <w:szCs w:val="24"/>
        </w:rPr>
        <w:t xml:space="preserve"> (gan barošanās, gan ligzdošanas kontekstā).</w:t>
      </w:r>
    </w:p>
    <w:p w14:paraId="0DEB5EBC" w14:textId="77777777" w:rsidR="00CC2435" w:rsidRPr="002C0B76" w:rsidRDefault="00CC2435" w:rsidP="00F91C3A">
      <w:pPr>
        <w:jc w:val="both"/>
        <w:rPr>
          <w:sz w:val="24"/>
          <w:szCs w:val="24"/>
        </w:rPr>
      </w:pPr>
    </w:p>
    <w:p w14:paraId="5D72F88F" w14:textId="77777777" w:rsidR="00CC2435" w:rsidRPr="002C0B76" w:rsidRDefault="00CC2435" w:rsidP="00F91C3A">
      <w:pPr>
        <w:jc w:val="both"/>
        <w:rPr>
          <w:sz w:val="24"/>
          <w:szCs w:val="24"/>
        </w:rPr>
      </w:pPr>
    </w:p>
    <w:p w14:paraId="57C6F480" w14:textId="6686A888" w:rsidR="00ED200C" w:rsidRPr="002C0B76" w:rsidRDefault="0061359F" w:rsidP="00ED200C">
      <w:pPr>
        <w:pStyle w:val="BodyText"/>
        <w:jc w:val="right"/>
        <w:rPr>
          <w:bCs/>
          <w:sz w:val="24"/>
          <w:szCs w:val="24"/>
        </w:rPr>
      </w:pPr>
      <w:r w:rsidRPr="002C0B76">
        <w:rPr>
          <w:bCs/>
          <w:sz w:val="24"/>
          <w:szCs w:val="24"/>
        </w:rPr>
        <w:tab/>
      </w:r>
      <w:r w:rsidRPr="002C0B76">
        <w:rPr>
          <w:bCs/>
          <w:sz w:val="24"/>
          <w:szCs w:val="24"/>
        </w:rPr>
        <w:tab/>
      </w:r>
      <w:r w:rsidRPr="002C0B76">
        <w:rPr>
          <w:bCs/>
          <w:sz w:val="24"/>
          <w:szCs w:val="24"/>
        </w:rPr>
        <w:tab/>
      </w:r>
      <w:r w:rsidR="00ED200C" w:rsidRPr="002C0B76">
        <w:rPr>
          <w:bCs/>
          <w:sz w:val="24"/>
          <w:szCs w:val="24"/>
        </w:rPr>
        <w:t>Gaidis Grandāns</w:t>
      </w:r>
    </w:p>
    <w:p w14:paraId="069EAEE4" w14:textId="77777777" w:rsidR="00ED200C" w:rsidRPr="002C0B76" w:rsidRDefault="00ED200C" w:rsidP="00ED200C">
      <w:pPr>
        <w:pStyle w:val="BodyText"/>
        <w:jc w:val="right"/>
        <w:rPr>
          <w:bCs/>
          <w:sz w:val="24"/>
          <w:szCs w:val="24"/>
        </w:rPr>
      </w:pPr>
      <w:r w:rsidRPr="002C0B76">
        <w:rPr>
          <w:bCs/>
          <w:sz w:val="24"/>
          <w:szCs w:val="24"/>
        </w:rPr>
        <w:t>Tālrunis: +37126638608</w:t>
      </w:r>
    </w:p>
    <w:p w14:paraId="72307D12" w14:textId="14908D27" w:rsidR="00293850" w:rsidRPr="002C0B76" w:rsidRDefault="00ED200C" w:rsidP="00ED200C">
      <w:pPr>
        <w:pStyle w:val="BodyText"/>
        <w:jc w:val="right"/>
        <w:rPr>
          <w:bCs/>
          <w:sz w:val="24"/>
          <w:szCs w:val="24"/>
        </w:rPr>
      </w:pPr>
      <w:r w:rsidRPr="002C0B76">
        <w:rPr>
          <w:bCs/>
          <w:sz w:val="24"/>
          <w:szCs w:val="24"/>
        </w:rPr>
        <w:t>e-pasts</w:t>
      </w:r>
      <w:r w:rsidR="001A6586" w:rsidRPr="002C0B76">
        <w:rPr>
          <w:bCs/>
          <w:sz w:val="24"/>
          <w:szCs w:val="24"/>
        </w:rPr>
        <w:t xml:space="preserve">: </w:t>
      </w:r>
      <w:hyperlink r:id="rId7" w:history="1">
        <w:r w:rsidR="001A6586" w:rsidRPr="002C0B76">
          <w:rPr>
            <w:rStyle w:val="Hyperlink"/>
            <w:bCs/>
            <w:sz w:val="24"/>
            <w:szCs w:val="24"/>
          </w:rPr>
          <w:t>gaidis@latvijasputni.lv</w:t>
        </w:r>
      </w:hyperlink>
    </w:p>
    <w:p w14:paraId="3FCFFA86" w14:textId="77777777" w:rsidR="001A6586" w:rsidRPr="002C0B76" w:rsidRDefault="001A6586" w:rsidP="00ED200C">
      <w:pPr>
        <w:pStyle w:val="BodyText"/>
        <w:jc w:val="right"/>
        <w:rPr>
          <w:bCs/>
          <w:sz w:val="24"/>
          <w:szCs w:val="24"/>
        </w:rPr>
      </w:pPr>
    </w:p>
    <w:p w14:paraId="681CE2E7" w14:textId="44F337DA" w:rsidR="00293850" w:rsidRPr="002C0B76" w:rsidRDefault="00293850" w:rsidP="00293850">
      <w:pPr>
        <w:pStyle w:val="BodyText"/>
        <w:jc w:val="right"/>
        <w:rPr>
          <w:sz w:val="24"/>
          <w:szCs w:val="24"/>
        </w:rPr>
      </w:pPr>
      <w:r w:rsidRPr="002C0B76">
        <w:rPr>
          <w:sz w:val="24"/>
          <w:szCs w:val="24"/>
        </w:rPr>
        <w:t xml:space="preserve">Sertifikāta Nr. 061 (joma: putni; sertifikāts derīgs līdz </w:t>
      </w:r>
      <w:r w:rsidR="005765FB" w:rsidRPr="002C0B76">
        <w:rPr>
          <w:sz w:val="24"/>
          <w:szCs w:val="24"/>
        </w:rPr>
        <w:t>15</w:t>
      </w:r>
      <w:r w:rsidRPr="002C0B76">
        <w:rPr>
          <w:sz w:val="24"/>
          <w:szCs w:val="24"/>
        </w:rPr>
        <w:t>.0</w:t>
      </w:r>
      <w:r w:rsidR="005765FB" w:rsidRPr="002C0B76">
        <w:rPr>
          <w:sz w:val="24"/>
          <w:szCs w:val="24"/>
        </w:rPr>
        <w:t>2</w:t>
      </w:r>
      <w:r w:rsidRPr="002C0B76">
        <w:rPr>
          <w:sz w:val="24"/>
          <w:szCs w:val="24"/>
        </w:rPr>
        <w:t>.202</w:t>
      </w:r>
      <w:r w:rsidR="005765FB" w:rsidRPr="002C0B76">
        <w:rPr>
          <w:sz w:val="24"/>
          <w:szCs w:val="24"/>
        </w:rPr>
        <w:t>9</w:t>
      </w:r>
      <w:r w:rsidRPr="002C0B76">
        <w:rPr>
          <w:sz w:val="24"/>
          <w:szCs w:val="24"/>
        </w:rPr>
        <w:t xml:space="preserve">.); </w:t>
      </w:r>
    </w:p>
    <w:p w14:paraId="2DB52A70" w14:textId="77777777" w:rsidR="008A3698" w:rsidRPr="002C0B76" w:rsidRDefault="00293850" w:rsidP="008A3698">
      <w:pPr>
        <w:pStyle w:val="BodyText"/>
        <w:jc w:val="right"/>
        <w:rPr>
          <w:sz w:val="24"/>
          <w:szCs w:val="24"/>
        </w:rPr>
      </w:pPr>
      <w:r w:rsidRPr="002C0B76">
        <w:rPr>
          <w:sz w:val="24"/>
          <w:szCs w:val="24"/>
        </w:rPr>
        <w:t>Sertifikāta Nr. 087 (jomas: meži un virsāji, zālāji, purvi; sertifikāts derīgs līdz 25.07.2026.; joma: sēnes; sertifikāts derīgs līdz 26.07.2024.; joma: ķērpji; sertifikāts derīgs līdz 24.03.2026.).</w:t>
      </w:r>
    </w:p>
    <w:p w14:paraId="4196E465" w14:textId="77777777" w:rsidR="008A3698" w:rsidRPr="002C0B76" w:rsidRDefault="008A3698" w:rsidP="008A3698">
      <w:pPr>
        <w:pStyle w:val="BodyText"/>
        <w:jc w:val="right"/>
        <w:rPr>
          <w:sz w:val="24"/>
          <w:szCs w:val="24"/>
        </w:rPr>
      </w:pPr>
    </w:p>
    <w:p w14:paraId="2C0ABFE7" w14:textId="77777777" w:rsidR="00C857DE" w:rsidRDefault="0061359F" w:rsidP="00C857DE">
      <w:pPr>
        <w:pStyle w:val="BodyText"/>
        <w:jc w:val="center"/>
        <w:rPr>
          <w:bCs/>
          <w:sz w:val="24"/>
          <w:szCs w:val="24"/>
        </w:rPr>
      </w:pPr>
      <w:r w:rsidRPr="002C0B76">
        <w:rPr>
          <w:bCs/>
          <w:sz w:val="24"/>
          <w:szCs w:val="24"/>
        </w:rPr>
        <w:t>PARAKSTĪTS ELEKTRONISKI UN SATUR LAIKA ZĪMOGU</w:t>
      </w:r>
    </w:p>
    <w:p w14:paraId="09C1CA75" w14:textId="77777777" w:rsidR="00C857DE" w:rsidRDefault="00C857DE" w:rsidP="00C857DE">
      <w:pPr>
        <w:pStyle w:val="BodyText"/>
        <w:jc w:val="center"/>
        <w:rPr>
          <w:bCs/>
          <w:sz w:val="24"/>
          <w:szCs w:val="24"/>
        </w:rPr>
      </w:pPr>
    </w:p>
    <w:sectPr w:rsidR="00C857D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D3D4" w14:textId="77777777" w:rsidR="007C64FE" w:rsidRDefault="007C64FE" w:rsidP="008844FD">
      <w:r>
        <w:separator/>
      </w:r>
    </w:p>
  </w:endnote>
  <w:endnote w:type="continuationSeparator" w:id="0">
    <w:p w14:paraId="01AA0D61" w14:textId="77777777" w:rsidR="007C64FE" w:rsidRDefault="007C64FE" w:rsidP="0088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0562D" w14:textId="77777777" w:rsidR="007C64FE" w:rsidRDefault="007C64FE" w:rsidP="008844FD">
      <w:r>
        <w:separator/>
      </w:r>
    </w:p>
  </w:footnote>
  <w:footnote w:type="continuationSeparator" w:id="0">
    <w:p w14:paraId="71457875" w14:textId="77777777" w:rsidR="007C64FE" w:rsidRDefault="007C64FE" w:rsidP="00884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B04C9"/>
    <w:multiLevelType w:val="hybridMultilevel"/>
    <w:tmpl w:val="705E2B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72863C4B"/>
    <w:multiLevelType w:val="multilevel"/>
    <w:tmpl w:val="D73A6372"/>
    <w:lvl w:ilvl="0">
      <w:start w:val="1"/>
      <w:numFmt w:val="decimal"/>
      <w:lvlText w:val="%1."/>
      <w:lvlJc w:val="left"/>
      <w:pPr>
        <w:ind w:left="360" w:hanging="360"/>
      </w:pPr>
      <w:rPr>
        <w:rFonts w:ascii="Times New Roman" w:eastAsia="Calibri" w:hAnsi="Times New Roman" w:cs="Times New Roman" w:hint="default"/>
        <w:strike w:val="0"/>
        <w:color w:val="auto"/>
        <w:sz w:val="24"/>
        <w:szCs w:val="24"/>
      </w:rPr>
    </w:lvl>
    <w:lvl w:ilvl="1">
      <w:start w:val="1"/>
      <w:numFmt w:val="decimal"/>
      <w:isLgl/>
      <w:lvlText w:val="%1.%2."/>
      <w:lvlJc w:val="left"/>
      <w:pPr>
        <w:ind w:left="567" w:hanging="360"/>
      </w:pPr>
      <w:rPr>
        <w:rFonts w:ascii="Times New Roman" w:hAnsi="Times New Roman" w:cs="Times New Roman" w:hint="default"/>
        <w:i w:val="0"/>
        <w:iCs w:val="0"/>
        <w:strike w:val="0"/>
        <w:color w:val="auto"/>
        <w:sz w:val="24"/>
        <w:szCs w:val="24"/>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num w:numId="1" w16cid:durableId="2067023924">
    <w:abstractNumId w:val="0"/>
  </w:num>
  <w:num w:numId="2" w16cid:durableId="112213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7D"/>
    <w:rsid w:val="00015BEF"/>
    <w:rsid w:val="0002552E"/>
    <w:rsid w:val="00035244"/>
    <w:rsid w:val="000D48F8"/>
    <w:rsid w:val="00107A24"/>
    <w:rsid w:val="00134ED1"/>
    <w:rsid w:val="00141D30"/>
    <w:rsid w:val="00181753"/>
    <w:rsid w:val="00192E39"/>
    <w:rsid w:val="001A476D"/>
    <w:rsid w:val="001A6586"/>
    <w:rsid w:val="001C1821"/>
    <w:rsid w:val="001D1977"/>
    <w:rsid w:val="001E298D"/>
    <w:rsid w:val="00252CD9"/>
    <w:rsid w:val="00293850"/>
    <w:rsid w:val="00294E76"/>
    <w:rsid w:val="002C0B76"/>
    <w:rsid w:val="002C5FED"/>
    <w:rsid w:val="002D68CB"/>
    <w:rsid w:val="002E4D0F"/>
    <w:rsid w:val="00305A96"/>
    <w:rsid w:val="0031052F"/>
    <w:rsid w:val="00327CB0"/>
    <w:rsid w:val="003E749A"/>
    <w:rsid w:val="00425439"/>
    <w:rsid w:val="004422CF"/>
    <w:rsid w:val="00443DA0"/>
    <w:rsid w:val="00453D38"/>
    <w:rsid w:val="00474DA5"/>
    <w:rsid w:val="004A72B8"/>
    <w:rsid w:val="005765FB"/>
    <w:rsid w:val="005D39A2"/>
    <w:rsid w:val="005D5891"/>
    <w:rsid w:val="005F3309"/>
    <w:rsid w:val="005F70D5"/>
    <w:rsid w:val="006114A1"/>
    <w:rsid w:val="0061359F"/>
    <w:rsid w:val="00626400"/>
    <w:rsid w:val="00645B96"/>
    <w:rsid w:val="00687BAF"/>
    <w:rsid w:val="007100B8"/>
    <w:rsid w:val="00772FCD"/>
    <w:rsid w:val="00780CB8"/>
    <w:rsid w:val="007C64FE"/>
    <w:rsid w:val="007F7948"/>
    <w:rsid w:val="00853834"/>
    <w:rsid w:val="008623E4"/>
    <w:rsid w:val="008844FD"/>
    <w:rsid w:val="008A3698"/>
    <w:rsid w:val="008F3BFB"/>
    <w:rsid w:val="00967429"/>
    <w:rsid w:val="009A478B"/>
    <w:rsid w:val="009A727D"/>
    <w:rsid w:val="009E0200"/>
    <w:rsid w:val="009E22CC"/>
    <w:rsid w:val="00A02182"/>
    <w:rsid w:val="00A24443"/>
    <w:rsid w:val="00A33C77"/>
    <w:rsid w:val="00A360E9"/>
    <w:rsid w:val="00A6246E"/>
    <w:rsid w:val="00A64F69"/>
    <w:rsid w:val="00A6789B"/>
    <w:rsid w:val="00A94AA7"/>
    <w:rsid w:val="00AA4CA2"/>
    <w:rsid w:val="00AB0372"/>
    <w:rsid w:val="00B41F45"/>
    <w:rsid w:val="00B71B2C"/>
    <w:rsid w:val="00BA5D37"/>
    <w:rsid w:val="00BC0C71"/>
    <w:rsid w:val="00BF33FB"/>
    <w:rsid w:val="00C04A24"/>
    <w:rsid w:val="00C67CA6"/>
    <w:rsid w:val="00C857DE"/>
    <w:rsid w:val="00C96D35"/>
    <w:rsid w:val="00CA1FA6"/>
    <w:rsid w:val="00CB5A62"/>
    <w:rsid w:val="00CC1CB5"/>
    <w:rsid w:val="00CC2435"/>
    <w:rsid w:val="00CC2850"/>
    <w:rsid w:val="00CD0F36"/>
    <w:rsid w:val="00D01EB9"/>
    <w:rsid w:val="00D11DF3"/>
    <w:rsid w:val="00D13300"/>
    <w:rsid w:val="00D61A47"/>
    <w:rsid w:val="00D63EBA"/>
    <w:rsid w:val="00DC12B2"/>
    <w:rsid w:val="00DC6CBC"/>
    <w:rsid w:val="00E00BB4"/>
    <w:rsid w:val="00E10891"/>
    <w:rsid w:val="00E62B92"/>
    <w:rsid w:val="00EA1888"/>
    <w:rsid w:val="00ED200C"/>
    <w:rsid w:val="00ED519F"/>
    <w:rsid w:val="00F077B1"/>
    <w:rsid w:val="00F37EAF"/>
    <w:rsid w:val="00F479C9"/>
    <w:rsid w:val="00F532AF"/>
    <w:rsid w:val="00F55017"/>
    <w:rsid w:val="00F91C3A"/>
    <w:rsid w:val="00FC19CC"/>
    <w:rsid w:val="00FE1F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7E59"/>
  <w15:chartTrackingRefBased/>
  <w15:docId w15:val="{D565FD70-CF23-4B23-89C3-E9DD77BD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27D"/>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9A727D"/>
  </w:style>
  <w:style w:type="character" w:styleId="FootnoteReference">
    <w:name w:val="footnote reference"/>
    <w:basedOn w:val="DefaultParagraphFont"/>
    <w:rsid w:val="008844FD"/>
    <w:rPr>
      <w:vertAlign w:val="superscript"/>
    </w:rPr>
  </w:style>
  <w:style w:type="paragraph" w:styleId="ListParagraph">
    <w:name w:val="List Paragraph"/>
    <w:aliases w:val="2,Bullet Points,Bullet Styl,Colorful List - Accent 11,Dot pt,F5 List Paragraph,IFCL - List Paragraph,Indicator Text,List Paragraph Char Char Char,List Paragraph12,MAIN CONTENT,Numbered Para 1,OBC Bullet,Párrafo de lista,Strip"/>
    <w:basedOn w:val="Normal"/>
    <w:link w:val="ListParagraphChar"/>
    <w:uiPriority w:val="34"/>
    <w:qFormat/>
    <w:rsid w:val="008844FD"/>
    <w:pPr>
      <w:ind w:left="720"/>
      <w:contextualSpacing/>
    </w:pPr>
  </w:style>
  <w:style w:type="paragraph" w:styleId="BodyText">
    <w:name w:val="Body Text"/>
    <w:basedOn w:val="Normal"/>
    <w:link w:val="BodyTextChar"/>
    <w:rsid w:val="0061359F"/>
    <w:pPr>
      <w:jc w:val="both"/>
    </w:pPr>
    <w:rPr>
      <w:sz w:val="22"/>
      <w:szCs w:val="22"/>
    </w:rPr>
  </w:style>
  <w:style w:type="character" w:customStyle="1" w:styleId="BodyTextChar">
    <w:name w:val="Body Text Char"/>
    <w:basedOn w:val="DefaultParagraphFont"/>
    <w:link w:val="BodyText"/>
    <w:rsid w:val="0061359F"/>
    <w:rPr>
      <w:rFonts w:ascii="Times New Roman" w:eastAsia="Calibri" w:hAnsi="Times New Roman" w:cs="Times New Roman"/>
    </w:rPr>
  </w:style>
  <w:style w:type="character" w:styleId="Strong">
    <w:name w:val="Strong"/>
    <w:uiPriority w:val="22"/>
    <w:qFormat/>
    <w:rsid w:val="0061359F"/>
    <w:rPr>
      <w:rFonts w:cs="Times New Roman"/>
      <w:b/>
      <w:bCs/>
    </w:rPr>
  </w:style>
  <w:style w:type="paragraph" w:customStyle="1" w:styleId="Default">
    <w:name w:val="Default"/>
    <w:rsid w:val="0061359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CommentReference">
    <w:name w:val="annotation reference"/>
    <w:basedOn w:val="DefaultParagraphFont"/>
    <w:uiPriority w:val="99"/>
    <w:semiHidden/>
    <w:unhideWhenUsed/>
    <w:rsid w:val="00D01EB9"/>
    <w:rPr>
      <w:sz w:val="16"/>
      <w:szCs w:val="16"/>
    </w:rPr>
  </w:style>
  <w:style w:type="paragraph" w:styleId="CommentText">
    <w:name w:val="annotation text"/>
    <w:basedOn w:val="Normal"/>
    <w:link w:val="CommentTextChar"/>
    <w:uiPriority w:val="99"/>
    <w:unhideWhenUsed/>
    <w:rsid w:val="00D01EB9"/>
  </w:style>
  <w:style w:type="character" w:customStyle="1" w:styleId="CommentTextChar">
    <w:name w:val="Comment Text Char"/>
    <w:basedOn w:val="DefaultParagraphFont"/>
    <w:link w:val="CommentText"/>
    <w:uiPriority w:val="99"/>
    <w:rsid w:val="00D01EB9"/>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01EB9"/>
    <w:rPr>
      <w:b/>
      <w:bCs/>
    </w:rPr>
  </w:style>
  <w:style w:type="character" w:customStyle="1" w:styleId="CommentSubjectChar">
    <w:name w:val="Comment Subject Char"/>
    <w:basedOn w:val="CommentTextChar"/>
    <w:link w:val="CommentSubject"/>
    <w:uiPriority w:val="99"/>
    <w:semiHidden/>
    <w:rsid w:val="00D01EB9"/>
    <w:rPr>
      <w:rFonts w:ascii="Times New Roman" w:eastAsia="Calibri" w:hAnsi="Times New Roman" w:cs="Times New Roman"/>
      <w:b/>
      <w:bCs/>
      <w:sz w:val="20"/>
      <w:szCs w:val="20"/>
    </w:rPr>
  </w:style>
  <w:style w:type="character" w:styleId="Hyperlink">
    <w:name w:val="Hyperlink"/>
    <w:basedOn w:val="DefaultParagraphFont"/>
    <w:uiPriority w:val="99"/>
    <w:unhideWhenUsed/>
    <w:rsid w:val="00293850"/>
    <w:rPr>
      <w:color w:val="0563C1" w:themeColor="hyperlink"/>
      <w:u w:val="single"/>
    </w:rPr>
  </w:style>
  <w:style w:type="character" w:styleId="UnresolvedMention">
    <w:name w:val="Unresolved Mention"/>
    <w:basedOn w:val="DefaultParagraphFont"/>
    <w:uiPriority w:val="99"/>
    <w:semiHidden/>
    <w:unhideWhenUsed/>
    <w:rsid w:val="00293850"/>
    <w:rPr>
      <w:color w:val="605E5C"/>
      <w:shd w:val="clear" w:color="auto" w:fill="E1DFDD"/>
    </w:rPr>
  </w:style>
  <w:style w:type="paragraph" w:styleId="Revision">
    <w:name w:val="Revision"/>
    <w:hidden/>
    <w:uiPriority w:val="99"/>
    <w:semiHidden/>
    <w:rsid w:val="001E298D"/>
    <w:pPr>
      <w:spacing w:after="0" w:line="240" w:lineRule="auto"/>
    </w:pPr>
    <w:rPr>
      <w:rFonts w:ascii="Times New Roman" w:eastAsia="Calibri" w:hAnsi="Times New Roman" w:cs="Times New Roman"/>
      <w:sz w:val="20"/>
      <w:szCs w:val="20"/>
    </w:rPr>
  </w:style>
  <w:style w:type="character" w:customStyle="1" w:styleId="ListParagraphChar">
    <w:name w:val="List Paragraph Char"/>
    <w:aliases w:val="2 Char,Bullet Points Char,Bullet Styl Char,Colorful List - Accent 11 Char,Dot pt Char,F5 List Paragraph Char,IFCL - List Paragraph Char,Indicator Text Char,List Paragraph Char Char Char Char,List Paragraph12 Char,MAIN CONTENT Char"/>
    <w:link w:val="ListParagraph"/>
    <w:uiPriority w:val="34"/>
    <w:qFormat/>
    <w:locked/>
    <w:rsid w:val="00F91C3A"/>
    <w:rPr>
      <w:rFonts w:ascii="Times New Roman" w:eastAsia="Calibri" w:hAnsi="Times New Roman" w:cs="Times New Roman"/>
      <w:sz w:val="20"/>
      <w:szCs w:val="20"/>
    </w:rPr>
  </w:style>
  <w:style w:type="paragraph" w:styleId="Header">
    <w:name w:val="header"/>
    <w:basedOn w:val="Normal"/>
    <w:link w:val="HeaderChar"/>
    <w:uiPriority w:val="99"/>
    <w:unhideWhenUsed/>
    <w:rsid w:val="00A94AA7"/>
    <w:pPr>
      <w:tabs>
        <w:tab w:val="center" w:pos="4153"/>
        <w:tab w:val="right" w:pos="8306"/>
      </w:tabs>
    </w:pPr>
  </w:style>
  <w:style w:type="character" w:customStyle="1" w:styleId="HeaderChar">
    <w:name w:val="Header Char"/>
    <w:basedOn w:val="DefaultParagraphFont"/>
    <w:link w:val="Header"/>
    <w:uiPriority w:val="99"/>
    <w:rsid w:val="00A94AA7"/>
    <w:rPr>
      <w:rFonts w:ascii="Times New Roman" w:eastAsia="Calibri" w:hAnsi="Times New Roman" w:cs="Times New Roman"/>
      <w:sz w:val="20"/>
      <w:szCs w:val="20"/>
    </w:rPr>
  </w:style>
  <w:style w:type="paragraph" w:styleId="Footer">
    <w:name w:val="footer"/>
    <w:basedOn w:val="Normal"/>
    <w:link w:val="FooterChar"/>
    <w:uiPriority w:val="99"/>
    <w:unhideWhenUsed/>
    <w:rsid w:val="00A94AA7"/>
    <w:pPr>
      <w:tabs>
        <w:tab w:val="center" w:pos="4153"/>
        <w:tab w:val="right" w:pos="8306"/>
      </w:tabs>
    </w:pPr>
  </w:style>
  <w:style w:type="character" w:customStyle="1" w:styleId="FooterChar">
    <w:name w:val="Footer Char"/>
    <w:basedOn w:val="DefaultParagraphFont"/>
    <w:link w:val="Footer"/>
    <w:uiPriority w:val="99"/>
    <w:rsid w:val="00A94AA7"/>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aidis@latvijasputn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3948</Words>
  <Characters>2251</Characters>
  <Application>Microsoft Office Word</Application>
  <DocSecurity>0</DocSecurity>
  <Lines>18</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Helmuts Hofmanis</dc:creator>
  <cp:keywords/>
  <dc:description/>
  <cp:lastModifiedBy>Gaidis Grandāns</cp:lastModifiedBy>
  <cp:revision>3</cp:revision>
  <dcterms:created xsi:type="dcterms:W3CDTF">2024-05-07T10:17:00Z</dcterms:created>
  <dcterms:modified xsi:type="dcterms:W3CDTF">2024-05-07T10:18:00Z</dcterms:modified>
</cp:coreProperties>
</file>